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0EF1D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14DDF161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速度赛马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</w:t>
      </w:r>
    </w:p>
    <w:p w14:paraId="7B2E711E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7A4E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892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体育局、省级单项协会）：</w:t>
            </w:r>
          </w:p>
        </w:tc>
      </w:tr>
      <w:tr w14:paraId="3C5D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6F4A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7F89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5268F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F66C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082A3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DC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7B884522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0ED4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0FBD2ECD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CD72E18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3232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B84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速度赛马三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级技术官员（涉及所有单项；最低30人开班；培训周期2天）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A8EF2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 w14:paraId="558BC7D2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2DC8C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77A5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速度赛马二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级技术官员（涉及所有单项；最低30人开班；培训周期2天）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C70436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1D54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256C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速度赛马一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级技术官员（涉及所有单项；最低30人开班；培训周期2天）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7C9003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1CF5E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1084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2"/>
              </w:rPr>
              <w:t>地址（原件），如有发现虚假申报材料，将取消承办单位申报资格。</w:t>
            </w:r>
          </w:p>
          <w:p w14:paraId="5E09F68B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5865983A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4DA60157">
            <w:p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33662860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6A83AF48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0A42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4094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9655C7"/>
    <w:rsid w:val="00A744D0"/>
    <w:rsid w:val="00A758D1"/>
    <w:rsid w:val="00AB2B78"/>
    <w:rsid w:val="00AC4F49"/>
    <w:rsid w:val="00AF38B5"/>
    <w:rsid w:val="00B02ED2"/>
    <w:rsid w:val="00B24D71"/>
    <w:rsid w:val="00B50557"/>
    <w:rsid w:val="00B72BF8"/>
    <w:rsid w:val="00BA4EA2"/>
    <w:rsid w:val="00BA50E5"/>
    <w:rsid w:val="00BD4A8C"/>
    <w:rsid w:val="00C11FDB"/>
    <w:rsid w:val="00C20A58"/>
    <w:rsid w:val="00C35C02"/>
    <w:rsid w:val="00C72216"/>
    <w:rsid w:val="00CB5010"/>
    <w:rsid w:val="00CC3CE0"/>
    <w:rsid w:val="00D066EB"/>
    <w:rsid w:val="00D52E00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13675B2C"/>
    <w:rsid w:val="165241DD"/>
    <w:rsid w:val="185F4F64"/>
    <w:rsid w:val="24FE13ED"/>
    <w:rsid w:val="3B153875"/>
    <w:rsid w:val="3D627C3E"/>
    <w:rsid w:val="4A13478B"/>
    <w:rsid w:val="57FD2060"/>
    <w:rsid w:val="593F084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299</Characters>
  <Lines>1</Lines>
  <Paragraphs>1</Paragraphs>
  <TotalTime>0</TotalTime>
  <ScaleCrop>false</ScaleCrop>
  <LinksUpToDate>false</LinksUpToDate>
  <CharactersWithSpaces>307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2021-11-26T03:57:00Z</dcterms:created>
  <dc:creator>abc25</dc:creator>
  <cp:lastModifiedBy>MaggiePQ</cp:lastModifiedBy>
  <cp:lastPrinted>2026-01-05T07:20:00Z</cp:lastPrinted>
  <dcterms:modified xsi:type="dcterms:W3CDTF">2026-01-05T07:57:52Z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7635F0A676B245DDB8E99ABA4E20B4E6_12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